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4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251ED8F2">
      <w:pPr>
        <w:spacing/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400-</w:t>
      </w:r>
      <w:r>
        <w:rPr>
          <w:rFonts w:ascii="Arial" w:hAnsi="Arial" w:cs="Arial"/>
          <w:b/>
          <w:color w:val="000000"/>
        </w:rPr>
        <w:t xml:space="preserve">33</w:t>
      </w:r>
      <w:r>
        <w:rPr>
          <w:rFonts w:ascii="Arial" w:hAnsi="Arial" w:cs="Arial"/>
          <w:b/>
          <w:color w:val="000000"/>
        </w:rPr>
        <w:t xml:space="preserve">0</w:t>
      </w:r>
      <w:r>
        <w:rPr>
          <w:rFonts w:ascii="Arial" w:hAnsi="Arial" w:cs="Arial"/>
          <w:b/>
          <w:color w:val="000000"/>
        </w:rPr>
        <w:t xml:space="preserve">-</w:t>
      </w:r>
      <w:r>
        <w:rPr>
          <w:rFonts w:ascii="Arial" w:hAnsi="Arial" w:cs="Arial"/>
          <w:b/>
          <w:color w:val="000000"/>
        </w:rPr>
        <w:t xml:space="preserve">11</w:t>
      </w:r>
      <w:r>
        <w:rPr>
          <w:rFonts w:ascii="Arial" w:hAnsi="Arial" w:cs="Arial"/>
          <w:b/>
          <w:color w:val="000000"/>
        </w:rPr>
        <w:t xml:space="preserve">0</w:t>
      </w:r>
      <w:r>
        <w:rPr>
          <w:rFonts w:ascii="Arial" w:hAnsi="Arial" w:cs="Arial"/>
          <w:b/>
          <w:color w:val="000000"/>
        </w:rPr>
        <w:t xml:space="preserve">kV ĮTAMPOS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TRANSFORMATORIŲ </w:t>
      </w:r>
      <w:r>
        <w:rPr>
          <w:rFonts w:ascii="Arial" w:hAnsi="Arial" w:cs="Arial"/>
          <w:b/>
        </w:rPr>
        <w:t xml:space="preserve">ALYVOS SURINKIMO DUOBIŲ STANDARTINIAI</w:t>
      </w:r>
      <w:r>
        <w:rPr>
          <w:rFonts w:ascii="Arial" w:hAnsi="Arial" w:cs="Arial"/>
          <w:b/>
          <w:color w:val="000000"/>
        </w:rPr>
        <w:t xml:space="preserve"> TECHNINIAI REIKALAVIMAI</w:t>
      </w:r>
    </w:p>
    <w:p w14:paraId="56DF973A">
      <w:pPr>
        <w:spacing/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W w:w="5334" w:type="pct"/>
        <w:tblInd w:w="-4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5801"/>
        <w:gridCol w:w="3320"/>
      </w:tblGrid>
      <w:tr>
        <w:trPr>
          <w:trHeight w:val="307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Eil. Nr.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291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Įrenginio, įrangos, gaminio ar medžiagos reikalaujamas parametras (mato vnt.), funkcija, išpildymas ar savybė</w:t>
            </w:r>
          </w:p>
        </w:tc>
        <w:tc>
          <w:tcPr>
            <w:tcW w:type="pct" w:w="1668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Reikalaujama parametro ar funkcijos reikšmė, išpildymas ar savybė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202" w:hRule="atLeast"/>
        </w:trPr>
        <w:tc>
          <w:tcPr>
            <w:tcW w:type="pct" w:w="5000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11"/>
              </w:numPr>
              <w:spacing/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Statybos techniniai reglamentai,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Standartai: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291" w:hRule="atLeast"/>
        </w:trPr>
        <w:tc>
          <w:tcPr>
            <w:tcW w:type="pct" w:w="41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1.1.</w:t>
            </w:r>
          </w:p>
        </w:tc>
        <w:tc>
          <w:tcPr>
            <w:tcW w:type="pct" w:w="291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Betonas. Specifikacija, eksploatacinės savybės, gamyba ir atitiktis</w:t>
            </w:r>
          </w:p>
        </w:tc>
        <w:tc>
          <w:tcPr>
            <w:tcW w:type="pct" w:w="1668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LST EN 206:2013+A2:202</w:t>
            </w:r>
            <w:r>
              <w:rPr>
                <w:rFonts w:ascii="Arial" w:hAnsi="Arial" w:cs="Arial"/>
                <w:sz w:val="22"/>
                <w:szCs w:val="22"/>
              </w:rPr>
              <w:t xml:space="preserve">1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712" w:hRule="atLeast"/>
        </w:trPr>
        <w:tc>
          <w:tcPr>
            <w:tcW w:type="pct" w:w="417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1.2.</w:t>
            </w:r>
          </w:p>
        </w:tc>
        <w:tc>
          <w:tcPr>
            <w:tcW w:type="pct" w:w="291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</w:t>
            </w:r>
            <w:r>
              <w:rPr>
                <w:rFonts w:ascii="Arial" w:hAnsi="Arial" w:cs="Arial"/>
                <w:sz w:val="22"/>
                <w:szCs w:val="22"/>
              </w:rPr>
              <w:t xml:space="preserve">elžbetoninių elementų charakteristikos turi tenkinti:</w:t>
            </w:r>
          </w:p>
        </w:tc>
        <w:tc>
          <w:tcPr>
            <w:tcW w:type="pct" w:w="1668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STR 2.05.05:2005 „Betoninių ir gelžbetonių konstrukcijų projektavimas“. 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712" w:hRule="atLeast"/>
        </w:trPr>
        <w:tc>
          <w:tcPr>
            <w:tcW w:type="pct" w:w="417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1.3.</w:t>
            </w:r>
          </w:p>
        </w:tc>
        <w:tc>
          <w:tcPr>
            <w:tcW w:type="pct" w:w="291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Skirstyklų ir pastočių elektros įrenginių įrengimo taisykl</w:t>
            </w:r>
            <w:r>
              <w:rPr>
                <w:rFonts w:ascii="Arial" w:hAnsi="Arial" w:cs="Arial"/>
                <w:sz w:val="22"/>
                <w:szCs w:val="22"/>
              </w:rPr>
              <w:t xml:space="preserve">ės</w:t>
            </w:r>
          </w:p>
        </w:tc>
        <w:tc>
          <w:tcPr>
            <w:tcW w:type="pct" w:w="1668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Galiojanti suvestinė redakcija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302" w:hRule="atLeast"/>
        </w:trPr>
        <w:tc>
          <w:tcPr>
            <w:tcW w:type="pct" w:w="5000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11"/>
              </w:numPr>
              <w:spacing/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Aplinkos sąlygos: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302" w:hRule="atLeast"/>
        </w:trPr>
        <w:tc>
          <w:tcPr>
            <w:tcW w:type="pct" w:w="41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2.1.</w:t>
            </w:r>
          </w:p>
        </w:tc>
        <w:tc>
          <w:tcPr>
            <w:tcW w:type="pct" w:w="291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Eksploatavimo sąlygos</w:t>
            </w:r>
          </w:p>
        </w:tc>
        <w:tc>
          <w:tcPr>
            <w:tcW w:type="pct" w:w="1668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Žemėje ir atvirame ore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302" w:hRule="atLeast"/>
        </w:trPr>
        <w:tc>
          <w:tcPr>
            <w:tcW w:type="pct" w:w="41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2.2.</w:t>
            </w:r>
          </w:p>
        </w:tc>
        <w:tc>
          <w:tcPr>
            <w:tcW w:type="pct" w:w="29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Maksimali eksploatavimo aplinkos temperatūra ne žemesnė kaip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1)</w:t>
            </w:r>
          </w:p>
        </w:tc>
        <w:tc>
          <w:tcPr>
            <w:tcW w:type="pct" w:w="166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+40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302" w:hRule="atLeast"/>
        </w:trPr>
        <w:tc>
          <w:tcPr>
            <w:tcW w:type="pct" w:w="41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2.3.</w:t>
            </w:r>
          </w:p>
        </w:tc>
        <w:tc>
          <w:tcPr>
            <w:tcW w:type="pct" w:w="29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Minimali eksploatavimo aplinkos temperatūra ne aukštesnė kaip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1)</w:t>
            </w:r>
          </w:p>
        </w:tc>
        <w:tc>
          <w:tcPr>
            <w:tcW w:type="pct" w:w="166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-40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302" w:hRule="atLeast"/>
        </w:trPr>
        <w:tc>
          <w:tcPr>
            <w:tcW w:type="pct" w:w="41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2.4.</w:t>
            </w:r>
          </w:p>
        </w:tc>
        <w:tc>
          <w:tcPr>
            <w:tcW w:type="pct" w:w="29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Metinis vidutinis santykinis oro drėgnumas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1)</w:t>
            </w:r>
          </w:p>
        </w:tc>
        <w:tc>
          <w:tcPr>
            <w:tcW w:type="pct" w:w="166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90 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302" w:hRule="atLeast"/>
        </w:trPr>
        <w:tc>
          <w:tcPr>
            <w:tcW w:type="pct" w:w="5000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numPr>
                <w:ilvl w:val="0"/>
                <w:numId w:val="11"/>
              </w:numPr>
              <w:spacing/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Mechaninės charakteristikos:</w:t>
            </w:r>
          </w:p>
        </w:tc>
      </w:tr>
      <w:tr>
        <w:trPr/>
        <w:tc>
          <w:tcPr>
            <w:tcW w:type="pct" w:w="417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</w:t>
            </w:r>
          </w:p>
        </w:tc>
        <w:tc>
          <w:tcPr>
            <w:tcW w:type="pct" w:w="291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onstrukcija</w:t>
            </w:r>
          </w:p>
        </w:tc>
        <w:tc>
          <w:tcPr>
            <w:tcW w:type="pct" w:w="1668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Monolitinė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Betonuojama vietoje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a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3.2.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false"/>
              <w:autoSpaceDN w:val="false"/>
              <w:adjustRightInd w:val="false"/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Aplinkos poveikio betonui klasė (pagal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LST 1974)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XF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b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≥ XC2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b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3.3.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atsparumo šalčiui klasė (pagal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LST 1974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0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b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3.4.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nelaidumo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vandeniui klasė (pagal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LST 1974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W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8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b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3.5.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stiprio gniuždant klasė (pagal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LST 1974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30/37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b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</w:p>
        </w:tc>
      </w:tr>
      <w:tr>
        <w:trPr>
          <w:trHeight w:val="226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3.6.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Armatūros plieno klasė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S275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b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</w:p>
        </w:tc>
      </w:tr>
      <w:tr>
        <w:tblPrEx>
          <w:tblInd w:w="-459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/>
        </w:tblPrEx>
        <w:trPr>
          <w:trHeight w:val="302" w:hRule="atLeast"/>
        </w:trPr>
        <w:tc>
          <w:tcPr>
            <w:tcW w:type="pct" w:w="5000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ListParagraph"/>
              <w:numPr>
                <w:ilvl w:val="0"/>
                <w:numId w:val="11"/>
              </w:num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Konstrukcija (1 Priedas)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</w:t>
            </w:r>
          </w:p>
        </w:tc>
      </w:tr>
      <w:tr>
        <w:trPr/>
        <w:tc>
          <w:tcPr>
            <w:tcW w:type="pct" w:w="417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.1.</w:t>
            </w:r>
          </w:p>
        </w:tc>
        <w:tc>
          <w:tcPr>
            <w:tcW w:type="pct" w:w="291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Alyvos nutekėjimo iš alyvos duobės vamzdžio skersmuo turi būti ne mažesnis kaip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(1.3.)</w:t>
            </w:r>
          </w:p>
        </w:tc>
        <w:tc>
          <w:tcPr>
            <w:tcW w:type="pct" w:w="1668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100 mm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a)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.2.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Vamzdis turi būti apsaugotas tinkleliu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(1.3.)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Priedas, 2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brėž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.3.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Apsaugai nuo stambių šiukšlių ir lapų virš alyvos surinkimo įlajos įrengiamas skaldos sluoksnis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(1.3.)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F31,5/64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.4.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Alyvos surinkimo duobės tūris parenkamas ne mažesnis kaip 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naudojamos įrenginyje alyvos tūris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.5.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lyvos duobės gabaritai turi būti didesni už elektros įrenginio gabaritus ne mažiau kaip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 m.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.6.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Skaičiuojamoji apkrova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400 kg/m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 b)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.7.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Geotekstilė, tankis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200 g/m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 b)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.8.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HDPE membrana, tankis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200 g/m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 b)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4.9.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Minimalus nuolydis link įlajos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(įrengiama alyvos surinkimo duobės kampe)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i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0,0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a)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4.10.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Deformacinės siūlės (kas 25m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c)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Būtinos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4.11.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Deformacinių siūlių pjovimas po betonavimo ne vėliau kaip per 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24 val.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a)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4.12.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Deformacinės siūlės plotis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3-5 mm.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a)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4.13.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Deformacinės siūlės gylis nuo plokštės storio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1/3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a)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4.14.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Deformacinės siūlės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hidroizoliuojantis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užpildas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Atsparus šalčiui ir UV 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(skirtas naudoti lauko sąlygomis)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>
        <w:trPr/>
        <w:tc>
          <w:tcPr>
            <w:tcW w:type="pct" w:w="5000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ListParagraph"/>
              <w:numPr>
                <w:ilvl w:val="0"/>
                <w:numId w:val="11"/>
              </w:num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Leistini matmenų nuokrypiai:</w:t>
            </w:r>
          </w:p>
        </w:tc>
      </w:tr>
      <w:tr>
        <w:trPr/>
        <w:tc>
          <w:tcPr>
            <w:tcW w:type="pct" w:w="417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.1.</w:t>
            </w:r>
          </w:p>
        </w:tc>
        <w:tc>
          <w:tcPr>
            <w:tcW w:type="pct" w:w="291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Leistinas ilgio nuokrypis, mm  </w:t>
            </w:r>
          </w:p>
        </w:tc>
        <w:tc>
          <w:tcPr>
            <w:tcW w:type="pct" w:w="1668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± 20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.2.</w:t>
            </w:r>
          </w:p>
        </w:tc>
        <w:tc>
          <w:tcPr>
            <w:tcW w:type="pct" w:w="29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Leistinas  skerspjūvio matmenų nuokrypis, mm</w:t>
            </w:r>
          </w:p>
        </w:tc>
        <w:tc>
          <w:tcPr>
            <w:tcW w:type="pct" w:w="166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+ 6; -3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.3.</w:t>
            </w:r>
          </w:p>
        </w:tc>
        <w:tc>
          <w:tcPr>
            <w:tcW w:type="pct" w:w="2915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Leistini antžeminės dalies paviršiaus nelygumų nuokrypiai:</w:t>
            </w:r>
          </w:p>
          <w:p>
            <w:pPr>
              <w:numPr>
                <w:ilvl w:val="0"/>
                <w:numId w:val="7"/>
              </w:num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Įdubos pločio didžiausias išmatavimas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  <w:p>
            <w:pPr>
              <w:numPr>
                <w:ilvl w:val="0"/>
                <w:numId w:val="7"/>
              </w:num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Iškilimo aukštis arba įdubos gylis, mm</w:t>
            </w:r>
          </w:p>
          <w:p>
            <w:pPr>
              <w:numPr>
                <w:ilvl w:val="0"/>
                <w:numId w:val="7"/>
              </w:num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Briaunos nuskilimo gylis, matuojamas nuo konstrukcijos paviršiaus, mm</w:t>
            </w:r>
          </w:p>
          <w:p>
            <w:pPr>
              <w:numPr>
                <w:ilvl w:val="0"/>
                <w:numId w:val="7"/>
              </w:num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Suminis nuskilimų ilgis 1m ilgio briaunoje</w:t>
            </w:r>
            <w:r>
              <w:rPr>
                <w:rFonts w:ascii="Arial" w:hAnsi="Arial" w:cs="Arial"/>
                <w:sz w:val="22"/>
                <w:szCs w:val="22"/>
              </w:rPr>
              <w:t xml:space="preserve">, mm</w:t>
            </w:r>
          </w:p>
          <w:p>
            <w:pPr>
              <w:numPr>
                <w:ilvl w:val="0"/>
                <w:numId w:val="7"/>
              </w:num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Paviršių kokybės kategorija, pagal LST 2015</w:t>
            </w:r>
          </w:p>
        </w:tc>
        <w:tc>
          <w:tcPr>
            <w:tcW w:type="pct" w:w="1668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10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5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10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50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.</w:t>
            </w:r>
            <w:r>
              <w:rPr>
                <w:rFonts w:ascii="Arial" w:hAnsi="Arial" w:cs="Arial"/>
                <w:sz w:val="22"/>
                <w:szCs w:val="22"/>
              </w:rPr>
              <w:t xml:space="preserve">8.</w:t>
            </w:r>
          </w:p>
        </w:tc>
        <w:tc>
          <w:tcPr>
            <w:tcW w:type="pct" w:w="29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Banguotumas</w:t>
            </w:r>
            <w:r>
              <w:rPr>
                <w:rFonts w:ascii="Arial" w:hAnsi="Arial" w:cs="Arial"/>
                <w:sz w:val="22"/>
                <w:szCs w:val="22"/>
              </w:rPr>
              <w:t xml:space="preserve"> (2000 mm liniuote), mm</w:t>
            </w:r>
          </w:p>
        </w:tc>
        <w:tc>
          <w:tcPr>
            <w:tcW w:type="pct" w:w="166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5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.9.</w:t>
            </w:r>
          </w:p>
        </w:tc>
        <w:tc>
          <w:tcPr>
            <w:tcW w:type="pct" w:w="2915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Nesutankinto betono zonos, įskilimai, o taip pat  riebalinės ir rūdžių dėmės visame konstrukcijos paviršiuje</w:t>
            </w:r>
          </w:p>
        </w:tc>
        <w:tc>
          <w:tcPr>
            <w:tcW w:type="pct" w:w="1668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Neleistini</w:t>
            </w:r>
          </w:p>
        </w:tc>
      </w:tr>
      <w:tr>
        <w:trPr/>
        <w:tc>
          <w:tcPr>
            <w:tcW w:type="pct" w:w="5000"/>
            <w:gridSpan w:val="3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pStyle w:val="ListParagraph"/>
              <w:numPr>
                <w:ilvl w:val="0"/>
                <w:numId w:val="11"/>
              </w:num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Ženklinimas: </w:t>
            </w:r>
          </w:p>
        </w:tc>
      </w:tr>
      <w:tr>
        <w:trPr/>
        <w:tc>
          <w:tcPr>
            <w:tcW w:type="pct" w:w="417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spacing/>
              <w:jc w:val="center"/>
              <w:rPr>
                <w:rFonts w:ascii="Arial" w:hAnsi="Arial" w:cs="Arial"/>
              </w:rPr>
            </w:pPr>
          </w:p>
        </w:tc>
        <w:tc>
          <w:tcPr>
            <w:tcW w:type="pct" w:w="2915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Ant kiekvieno gamyklinio elemento turi būti nurodyta:</w:t>
            </w:r>
          </w:p>
        </w:tc>
        <w:tc>
          <w:tcPr>
            <w:tcW w:type="pct" w:w="1668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žymuo</w:t>
            </w:r>
          </w:p>
        </w:tc>
      </w:tr>
      <w:tr>
        <w:trPr/>
        <w:tc>
          <w:tcPr>
            <w:tcW w:type="pct" w:w="3332"/>
            <w:gridSpan w:val="2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pStyle w:val="ListParagraph"/>
              <w:numPr>
                <w:ilvl w:val="0"/>
                <w:numId w:val="11"/>
              </w:numPr>
              <w: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Garantinis laikas ne mažiau,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metais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</w:p>
        </w:tc>
        <w:tc>
          <w:tcPr>
            <w:tcW w:type="pct" w:w="1668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50</w:t>
            </w:r>
          </w:p>
        </w:tc>
      </w:tr>
      <w:tr>
        <w:trPr/>
        <w:tc>
          <w:tcPr>
            <w:tcW w:type="pct" w:w="5000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Pastabos:</w:t>
            </w:r>
          </w:p>
          <w:p>
            <w:pPr>
              <w:autoSpaceDE w:val="false"/>
              <w:autoSpaceDN w:val="false"/>
              <w:adjustRightInd w:val="false"/>
              <w:spacing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TTE2t00" w:cs="Arial"/>
                <w:color w:val="000000"/>
                <w:sz w:val="22"/>
                <w:szCs w:val="22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- Projekte dydžių reikšmės gali būti koreguojamos, tačiau tik griežtinant reikalavimus</w:t>
            </w:r>
          </w:p>
          <w:p>
            <w:p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Rangovo teikiama dokumentacija reikalaujamo parametro atitikimo pagrindimui:</w:t>
            </w:r>
          </w:p>
          <w:p>
            <w:pPr>
              <w:autoSpaceDE w:val="false"/>
              <w:autoSpaceDN w:val="false"/>
              <w:adjustRightInd w:val="false"/>
              <w:spacing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2" w:name="_Hlk189566294"/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- Projektas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AT pamato konstrukcija atskirta nuo surinkimo duobės dugno plokštės deformacinėmis siūlėmis.</w:t>
            </w:r>
          </w:p>
          <w:bookmarkEnd w:id="2"/>
          <w:p>
            <w:pPr>
              <w:autoSpaceDE w:val="false"/>
              <w:autoSpaceDN w:val="false"/>
              <w:adjustRightInd w:val="false"/>
              <w:spacing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b)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- Notifikuotos ar </w:t>
            </w:r>
            <w:r>
              <w:rPr>
                <w:rFonts w:ascii="Arial" w:hAnsi="Arial" w:cs="Arial"/>
                <w:sz w:val="22"/>
                <w:szCs w:val="22"/>
              </w:rPr>
              <w:t xml:space="preserve">Lietuvos Respublikos Aplinkos ministro 2013-11-27 įsakymu Nr. D1-871 paskirtosios įstaigos, atliekančios trečiųjų šalių užduotis vertinant ir tikrinant statybos produktų eksploatacinių savybių pastovumą, išduoto atitiktį patvirtinančio dokumento kopija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Gamintojo eksploatacinių savybių deklaracija;</w:t>
            </w:r>
          </w:p>
          <w:p>
            <w:pPr>
              <w:autoSpaceDE w:val="false"/>
              <w:autoSpaceDN w:val="false"/>
              <w:adjustRightInd w:val="false"/>
              <w:spacing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3" w:name="_Hlk189566167"/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c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–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Projektuotojas pateikia ir suderina su Užsakovu deformacinės siūlės įrengimo mazgą TDP stadijoje.</w:t>
            </w:r>
            <w:bookmarkEnd w:id="3"/>
          </w:p>
        </w:tc>
      </w:tr>
    </w:tbl>
    <w:p w14:paraId="69A8F3CF">
      <w:pPr>
        <w:spacing/>
        <w:ind w:left="-426"/>
        <w:rPr>
          <w:rFonts w:ascii="Arial" w:hAnsi="Arial" w:cs="Arial"/>
          <w:b/>
          <w:noProof/>
          <w:color w:val="000000"/>
        </w:rPr>
      </w:pPr>
    </w:p>
    <w:p w14:paraId="10109CFA">
      <w:pPr>
        <w:spacing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br w:type="page"/>
      </w:r>
    </w:p>
    <w:p w14:paraId="2FC3DA85">
      <w:pPr>
        <w:spacing/>
        <w:ind w:left="-426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t xml:space="preserve">1 Priedas</w:t>
      </w:r>
    </w:p>
    <w:p w14:paraId="2BCE0F75">
      <w:pPr>
        <w:spacing/>
        <w:ind w:left="-426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t xml:space="preserve">Koncepciniai mazgai, pjūviai</w:t>
      </w:r>
    </w:p>
    <w:p w14:paraId="5285C291">
      <w:pPr>
        <w:spacing/>
        <w:ind w:left="-426"/>
        <w:rPr>
          <w:rFonts w:ascii="Arial" w:hAnsi="Arial" w:cs="Arial"/>
          <w:b/>
          <w:noProof/>
          <w:color w:val="000000"/>
        </w:rPr>
      </w:pPr>
    </w:p>
    <w:p w14:paraId="5831F1C3">
      <w:pPr>
        <w:spacing/>
        <w:ind w:left="-426"/>
        <w:rPr>
          <w:rFonts w:ascii="Arial" w:hAnsi="Arial" w:cs="Arial"/>
          <w:bCs/>
          <w:noProof/>
          <w:color w:val="000000"/>
        </w:rPr>
      </w:pPr>
    </w:p>
    <w:p w14:paraId="2497EF63">
      <w:pPr>
        <w:pStyle w:val="ListParagraph"/>
        <w:numPr>
          <w:ilvl w:val="0"/>
          <w:numId w:val="2"/>
        </w:numPr>
        <w:spacing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Plokštės pjūvis</w:t>
      </w:r>
    </w:p>
    <w:p w14:paraId="513EB176">
      <w:pPr>
        <w:pStyle w:val="ListParagraph"/>
        <w:spacing/>
        <w:ind w:left="-66"/>
        <w:rPr>
          <w:rFonts w:ascii="Arial" w:hAnsi="Arial" w:cs="Arial"/>
          <w:noProof/>
          <w:color w:val="000000"/>
        </w:rPr>
      </w:pPr>
    </w:p>
    <w:p w14:paraId="7C37A5C3">
      <w:pPr>
        <w:spacing/>
        <w:ind w:left="-426"/>
        <w:jc w:val="center"/>
        <w:rPr>
          <w:rFonts w:ascii="Arial" w:hAnsi="Arial" w:cs="Arial"/>
          <w:b/>
          <w:bCs/>
          <w:noProof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drawing>
          <wp:inline>
            <wp:extent cx="5154804" cy="2503541"/>
            <wp:effectExtent xmlns:wp="http://schemas.openxmlformats.org/drawingml/2006/wordprocessingDrawing" l="0" t="0" r="825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804" cy="2503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8FFA2">
      <w:pPr>
        <w:pStyle w:val="ListParagraph"/>
        <w:numPr>
          <w:ilvl w:val="0"/>
          <w:numId w:val="2"/>
        </w:numPr>
        <w:spacing/>
        <w:rPr>
          <w:rFonts w:ascii="Arial" w:hAnsi="Arial" w:cs="Arial"/>
          <w:bCs/>
          <w:noProof/>
          <w:color w:val="000000"/>
        </w:rPr>
      </w:pPr>
      <w:r>
        <w:rPr>
          <w:rFonts w:ascii="Arial" w:hAnsi="Arial" w:cs="Arial"/>
          <w:bCs/>
          <w:noProof/>
          <w:color w:val="000000"/>
        </w:rPr>
        <w:t xml:space="preserve">Alyvos surinkimo </w:t>
      </w:r>
      <w:r>
        <w:rPr>
          <w:rFonts w:ascii="Arial" w:hAnsi="Arial" w:cs="Arial"/>
          <w:bCs/>
          <w:noProof/>
          <w:color w:val="000000"/>
        </w:rPr>
        <w:t xml:space="preserve">įlajos pjūvis</w:t>
      </w:r>
    </w:p>
    <w:p w14:paraId="39E764C5">
      <w:pPr>
        <w:spacing/>
        <w:ind w:left="-426"/>
        <w:rPr>
          <w:rFonts w:ascii="Arial" w:hAnsi="Arial" w:cs="Arial"/>
          <w:b/>
          <w:noProof/>
          <w:color w:val="000000"/>
        </w:rPr>
      </w:pPr>
    </w:p>
    <w:p w14:paraId="24479617">
      <w:pPr>
        <w:spacing/>
        <w:ind w:left="-426"/>
        <w:jc w:val="center"/>
        <w:rPr/>
      </w:pPr>
      <w:r>
        <w:rPr>
          <w:noProof/>
        </w:rPr>
        <w:drawing>
          <wp:inline>
            <wp:extent cx="4427144" cy="2844771"/>
            <wp:effectExtent xmlns:wp="http://schemas.openxmlformats.org/drawingml/2006/wordprocessingDrawing"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144" cy="2844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EB120">
      <w:pPr>
        <w:pStyle w:val="ListParagraph"/>
        <w:numPr>
          <w:ilvl w:val="0"/>
          <w:numId w:val="2"/>
        </w:numPr>
        <w:spacing/>
        <w:rPr>
          <w:rFonts w:ascii="Arial" w:hAnsi="Arial" w:cs="Arial"/>
          <w:bCs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Deformacinė siūlė</w:t>
      </w:r>
    </w:p>
    <w:p w14:paraId="26050E44">
      <w:pPr>
        <w:pStyle w:val="ListParagraph"/>
        <w:spacing/>
        <w:ind w:left="-66"/>
        <w:rPr>
          <w:rFonts w:ascii="Arial" w:hAnsi="Arial" w:cs="Arial"/>
          <w:bCs/>
          <w:noProof/>
          <w:color w:val="000000"/>
        </w:rPr>
      </w:pPr>
    </w:p>
    <w:p w14:paraId="7E1DBD3B">
      <w:pPr>
        <w:pStyle w:val="ListParagraph"/>
        <w:spacing/>
        <w:ind w:left="-66"/>
        <w:jc w:val="center"/>
        <w:rPr/>
      </w:pPr>
      <w:r>
        <w:rPr>
          <w:noProof/>
        </w:rPr>
        <w:drawing>
          <wp:inline>
            <wp:extent cx="3672672" cy="1973001"/>
            <wp:effectExtent xmlns:wp="http://schemas.openxmlformats.org/drawingml/2006/wordprocessingDrawing" l="0" t="0" r="4445" b="825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672" cy="197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w:type="default" r:id="rId4"/>
      <w:type w:val="nextPage"/>
      <w:pgSz w:w="11906" w:h="16838"/>
      <w:pgMar w:top="709" w:right="849" w:bottom="900" w:left="1701" w:header="540" w:footer="0" w:gutter="0"/>
      <w:pgBorders/>
      <w:pgNumType w:fmt="decimal"/>
      <w:cols w:num="1" w:equalWidth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roman"/>
    <w:pitch w:val="variable"/>
    <w:sig w:usb0="E0002EFF" w:usb1="C000785B" w:usb2="00000009" w:usb3="00000000" w:csb0="000001FF" w:csb1="00000000"/>
  </w:font>
  <w:font w:name="Courier New">
    <w:charset w:val="0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alibri">
    <w:charset w:val="0"/>
    <w:family w:val="swiss"/>
    <w:pitch w:val="variable"/>
    <w:sig w:usb0="E4002EFF" w:usb1="C200247B" w:usb2="00000009" w:usb3="00000000" w:csb0="000001FF" w:csb1="00000000"/>
  </w:font>
  <w:font w:name="Arial">
    <w:charset w:val="0"/>
    <w:family w:val="swiss"/>
    <w:pitch w:val="variable"/>
    <w:sig w:usb0="E0002EFF" w:usb1="C000785B" w:usb2="00000009" w:usb3="00000000" w:csb0="000001FF" w:csb1="00000000"/>
  </w:font>
  <w:font w:name="Tahoma">
    <w:charset w:val="0"/>
    <w:family w:val="swiss"/>
    <w:pitch w:val="variable"/>
    <w:sig w:usb0="E1002EFF" w:usb1="C000605B" w:usb2="00000029" w:usb3="00000000" w:csb0="000101FF" w:csb1="00000000"/>
  </w:font>
  <w:font w:name="TTE2t00">
    <w:altName w:val="Times New Roman"/>
    <w:charset w:val="0"/>
    <w:family w:val="auto"/>
    <w:pitch w:val="default"/>
    <w:sig w:usb0="00000003" w:usb1="08080000" w:usb2="00000010" w:usb3="00000000" w:csb0="001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charset w:val="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6BEDAD3F">
    <w:pPr>
      <w:pStyle w:val="Footer"/>
      <w:spacing/>
      <w:rPr>
        <w:bCs/>
        <w:color w:val="000000"/>
        <w:sz w:val="16"/>
        <w:szCs w:val="16"/>
      </w:rPr>
    </w:pPr>
    <w:r>
      <w:rPr>
        <w:bCs/>
        <w:color w:val="000000"/>
        <w:sz w:val="16"/>
        <w:szCs w:val="16"/>
      </w:rPr>
      <w:t xml:space="preserve">400-330-110kV ĮTAMPOS TRANSFORMATORIŲ ALYVOS SURIIMO DUOBIŲ STANDARTINIAI TECHNINIAI REIKALAVIMAI</w:t>
    </w:r>
  </w:p>
  <w:p w14:paraId="68052489">
    <w:pPr>
      <w:spacing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75BDD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">
    <w:nsid w:val="1B56661F"/>
    <w:lvl w:ilvl="0">
      <w:start w:val="1"/>
      <w:numFmt w:val="decimal"/>
      <w:suff w:val="tab"/>
      <w:lvlText w:val="%1."/>
      <w:pPr>
        <w:spacing/>
        <w:ind w:left="-66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654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374" w:hanging="180"/>
      </w:pPr>
      <w:rPr/>
    </w:lvl>
    <w:lvl w:ilvl="3">
      <w:start w:val="1"/>
      <w:numFmt w:val="decimal"/>
      <w:suff w:val="tab"/>
      <w:lvlText w:val="%4."/>
      <w:pPr>
        <w:spacing/>
        <w:ind w:left="2094" w:hanging="360"/>
      </w:pPr>
      <w:rPr/>
    </w:lvl>
    <w:lvl w:ilvl="4">
      <w:start w:val="1"/>
      <w:numFmt w:val="lowerLetter"/>
      <w:suff w:val="tab"/>
      <w:lvlText w:val="%5."/>
      <w:pPr>
        <w:spacing/>
        <w:ind w:left="2814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534" w:hanging="180"/>
      </w:pPr>
      <w:rPr/>
    </w:lvl>
    <w:lvl w:ilvl="6">
      <w:start w:val="1"/>
      <w:numFmt w:val="decimal"/>
      <w:suff w:val="tab"/>
      <w:lvlText w:val="%7."/>
      <w:pPr>
        <w:spacing/>
        <w:ind w:left="4254" w:hanging="360"/>
      </w:pPr>
      <w:rPr/>
    </w:lvl>
    <w:lvl w:ilvl="7">
      <w:start w:val="1"/>
      <w:numFmt w:val="lowerLetter"/>
      <w:suff w:val="tab"/>
      <w:lvlText w:val="%8."/>
      <w:pPr>
        <w:spacing/>
        <w:ind w:left="4974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5694" w:hanging="180"/>
      </w:pPr>
      <w:rPr/>
    </w:lvl>
  </w:abstractNum>
  <w:abstractNum w:abstractNumId="2">
    <w:nsid w:val="2C0A249D"/>
    <w:lvl w:ilvl="0">
      <w:start w:val="3"/>
      <w:numFmt w:val="bullet"/>
      <w:suff w:val="tab"/>
      <w:lvlText w:val="-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tabs>
          <w:tab w:val="num" w:pos="1080"/>
        </w:tabs>
        <w:spacing/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tabs>
          <w:tab w:val="num" w:pos="1800"/>
        </w:tabs>
        <w:spacing/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520"/>
        </w:tabs>
        <w:spacing/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tabs>
          <w:tab w:val="num" w:pos="3240"/>
        </w:tabs>
        <w:spacing/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tabs>
          <w:tab w:val="num" w:pos="3960"/>
        </w:tabs>
        <w:spacing/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tabs>
          <w:tab w:val="num" w:pos="4680"/>
        </w:tabs>
        <w:spacing/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tabs>
          <w:tab w:val="num" w:pos="5400"/>
        </w:tabs>
        <w:spacing/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tabs>
          <w:tab w:val="num" w:pos="6120"/>
        </w:tabs>
        <w:spacing/>
        <w:ind w:left="6120" w:hanging="360"/>
      </w:pPr>
      <w:rPr>
        <w:rFonts w:ascii="Wingdings" w:hAnsi="Wingdings" w:hint="default"/>
      </w:rPr>
    </w:lvl>
  </w:abstractNum>
  <w:abstractNum w:abstractNumId="3">
    <w:nsid w:val="2DB81C56"/>
    <w:lvl w:ilvl="0">
      <w:start w:val="3"/>
      <w:numFmt w:val="bullet"/>
      <w:suff w:val="tab"/>
      <w:lvlText w:val="-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tabs>
          <w:tab w:val="num" w:pos="3600"/>
        </w:tabs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tabs>
          <w:tab w:val="num" w:pos="5760"/>
        </w:tabs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</w:rPr>
    </w:lvl>
  </w:abstractNum>
  <w:abstractNum w:abstractNumId="4">
    <w:nsid w:val="3DFA4FB5"/>
    <w:lvl w:ilvl="0">
      <w:start w:val="4"/>
      <w:numFmt w:val="bullet"/>
      <w:suff w:val="tab"/>
      <w:lvlText w:val="-"/>
      <w:pPr>
        <w:spacing/>
        <w:ind w:left="720" w:hanging="360"/>
      </w:pPr>
      <w:rPr>
        <w:rFonts w:ascii="Calibri" w:hAnsi="Calibri" w:eastAsia="Times New Roman" w:cs="Calibri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5">
    <w:nsid w:val="57D560A9"/>
    <w:lvl w:ilvl="0">
      <w:start w:val="3"/>
      <w:numFmt w:val="bullet"/>
      <w:suff w:val="tab"/>
      <w:lvlText w:val="-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tabs>
          <w:tab w:val="num" w:pos="3600"/>
        </w:tabs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tabs>
          <w:tab w:val="num" w:pos="5760"/>
        </w:tabs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</w:rPr>
    </w:lvl>
  </w:abstractNum>
  <w:abstractNum w:abstractNumId="6">
    <w:nsid w:val="593C1EA3"/>
    <w:lvl w:ilvl="0">
      <w:start w:val="3"/>
      <w:numFmt w:val="bullet"/>
      <w:suff w:val="tab"/>
      <w:lvlText w:val="-"/>
      <w:pPr>
        <w:spacing/>
        <w:ind w:left="720" w:hanging="360"/>
      </w:pPr>
      <w:rPr>
        <w:rFonts w:ascii="Arial" w:hAnsi="Arial" w:eastAsia="Times New Roman" w:cs="Arial" w:hint="default"/>
        <w:color w:val="auto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7">
    <w:nsid w:val="5E483F2D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8">
    <w:nsid w:val="5E6A57A6"/>
    <w:lvl w:ilvl="0">
      <w:start w:val="0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9">
    <w:nsid w:val="5EA5329D"/>
    <w:lvl w:ilvl="0">
      <w:start w:val="3"/>
      <w:numFmt w:val="bullet"/>
      <w:suff w:val="tab"/>
      <w:lvlText w:val="-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tabs>
          <w:tab w:val="num" w:pos="1080"/>
        </w:tabs>
        <w:spacing/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tabs>
          <w:tab w:val="num" w:pos="1800"/>
        </w:tabs>
        <w:spacing/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520"/>
        </w:tabs>
        <w:spacing/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tabs>
          <w:tab w:val="num" w:pos="3240"/>
        </w:tabs>
        <w:spacing/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tabs>
          <w:tab w:val="num" w:pos="3960"/>
        </w:tabs>
        <w:spacing/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tabs>
          <w:tab w:val="num" w:pos="4680"/>
        </w:tabs>
        <w:spacing/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tabs>
          <w:tab w:val="num" w:pos="5400"/>
        </w:tabs>
        <w:spacing/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tabs>
          <w:tab w:val="num" w:pos="6120"/>
        </w:tabs>
        <w:spacing/>
        <w:ind w:left="6120" w:hanging="360"/>
      </w:pPr>
      <w:rPr>
        <w:rFonts w:ascii="Wingdings" w:hAnsi="Wingdings" w:hint="default"/>
      </w:rPr>
    </w:lvl>
  </w:abstractNum>
  <w:abstractNum w:abstractNumId="10">
    <w:nsid w:val="69970D91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1">
    <w:nsid w:val="6E6976D1"/>
    <w:lvl w:ilvl="0">
      <w:start w:val="3"/>
      <w:numFmt w:val="bullet"/>
      <w:suff w:val="tab"/>
      <w:lvlText w:val="-"/>
      <w:pPr>
        <w:spacing/>
        <w:ind w:left="3479" w:hanging="360"/>
      </w:pPr>
      <w:rPr>
        <w:rFonts w:ascii="Arial" w:hAnsi="Aria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419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4919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5639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635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7079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7799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851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92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proofState w:spelling="clean" w:grammar="clean"/>
  <w:stylePaneFormatFilter xmlns:w="http://schemas.openxmlformats.org/wordprocessingml/2006/main"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 xmlns:w="http://schemas.openxmlformats.org/wordprocessingml/2006/main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oNotIncludeSubdocsInStats xmlns:w="http://schemas.openxmlformats.org/wordprocessingml/2006/main"/>
  <w:decimalSymbol xmlns:w="http://schemas.openxmlformats.org/wordprocessingml/2006/main" w:val="."/>
  <w:listSeparator xmlns:w="http://schemas.openxmlformats.org/wordprocessingml/2006/main"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styleId="Normal" w:default="1">
    <w:name w:val="Normal"/>
    <w:qFormat/>
    <w:pPr>
      <w:spacing/>
    </w:pPr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pPr>
      <w:tabs>
        <w:tab w:val="center" w:pos="4819"/>
        <w:tab w:val="right" w:pos="9638"/>
      </w:tabs>
      <w:spacing/>
    </w:pPr>
    <w:rPr/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pacing/>
    </w:pPr>
    <w:rPr/>
  </w:style>
  <w:style w:type="character" w:styleId="PageNumber">
    <w:name w:val="Page Number"/>
    <w:basedOn w:val="DefaultParagraphFont"/>
    <w:rPr/>
  </w:style>
  <w:style w:type="paragraph" w:styleId="BalloonText">
    <w:name w:val="Balloon Text"/>
    <w:basedOn w:val="Normal"/>
    <w:semiHidden/>
    <w:pPr>
      <w:spacing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EE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xl36" w:customStyle="1">
    <w:name w:val="xl36"/>
    <w:basedOn w:val="Normal"/>
    <w:uiPriority w:val="99"/>
    <w:pPr>
      <w:pBdr>
        <w:left w:val="single" w:color="auto" w:sz="4" w:space="0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pPr>
      <w:spacing/>
      <w:jc w:val="center"/>
    </w:pPr>
    <w:rPr>
      <w:sz w:val="28"/>
      <w:szCs w:val="20"/>
      <w:lang w:eastAsia="en-US"/>
    </w:rPr>
  </w:style>
  <w:style w:type="character" w:styleId="TitleChar" w:customStyle="1">
    <w:name w:val="Title Char"/>
    <w:basedOn w:val="DefaultParagraphFont"/>
    <w:link w:val="Title"/>
    <w:rPr>
      <w:sz w:val="28"/>
      <w:lang w:eastAsia="en-US"/>
    </w:rPr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Symbol" w:hAnsi="Symbol" w:cs="Symbol"/>
      <w:color w:val="000000"/>
      <w:sz w:val="24"/>
      <w:szCs w:val="24"/>
    </w:rPr>
  </w:style>
  <w:style w:type="character" w:styleId="CommentReference" w:customStyle="1">
    <w:name w:val="annotation reference"/>
    <w:basedOn w:val="DefaultParagraphFont"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pPr>
      <w:spacing/>
    </w:pPr>
    <w:rPr>
      <w:sz w:val="20"/>
      <w:szCs w:val="20"/>
    </w:rPr>
  </w:style>
  <w:style w:type="character" w:styleId="CommentTextChar" w:customStyle="1">
    <w:name w:val="Comment Text Char"/>
    <w:basedOn w:val="DefaultParagraphFont"/>
    <w:rPr/>
  </w:style>
  <w:style w:type="paragraph" w:styleId="CommentSubject" w:customStyle="1">
    <w:name w:val="annotation subject"/>
    <w:basedOn w:val="CommentText"/>
    <w:next w:val="CommentText"/>
    <w:link w:val="CommentSubjectChar"/>
    <w:pPr>
      <w:spacing/>
    </w:pPr>
    <w:rPr>
      <w:b/>
      <w:bCs/>
    </w:rPr>
  </w:style>
  <w:style w:type="character" w:styleId="CommentSubjectChar" w:customStyle="1">
    <w:name w:val="Comment Subject Char"/>
    <w:basedOn w:val="DefaultParagraphFont"/>
    <w:rPr>
      <w:b/>
      <w:bCs/>
    </w:rPr>
  </w:style>
  <w:style w:type="character" w:styleId="Emphasis">
    <w:name w:val="Emphasis"/>
    <w:basedOn w:val="DefaultParagraphFont"/>
    <w:uiPriority w:val="20"/>
    <w:qFormat/>
    <w:rPr>
      <w:b/>
      <w:bCs/>
      <w:i w:val="0"/>
      <w:iCs w:val="0"/>
    </w:rPr>
  </w:style>
  <w:style w:type="character" w:styleId="st1" w:customStyle="1">
    <w:name w:val="st1"/>
    <w:basedOn w:val="DefaultParagraphFont"/>
    <w:rPr/>
  </w:style>
  <w:style w:type="character" w:styleId="hps" w:customStyle="1">
    <w:name w:val="hps"/>
    <w:basedOn w:val="DefaultParagraphFont"/>
    <w:rPr/>
  </w:style>
  <w:style w:type="character" w:styleId="FooterChar" w:customStyle="1">
    <w:name w:val="Footer Char"/>
    <w:basedOn w:val="DefaultParagraphFont"/>
    <w:link w:val="Footer"/>
    <w:uiPriority w:val="99"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paragraph" w:styleId="Revision" w:customStyle="1">
    <w:name w:val="Revision"/>
    <w:uiPriority w:val="99"/>
    <w:semiHidden/>
    <w:pPr>
      <w:spacing/>
    </w:pPr>
    <w:rPr>
      <w:sz w:val="24"/>
      <w:szCs w:val="24"/>
    </w:rPr>
  </w:style>
</w:styles>
</file>

<file path=word/_rels/document.xml.rels>&#65279;<?xml version="1.0" encoding="utf-8" standalone="yes"?><Relationships xmlns="http://schemas.openxmlformats.org/package/2006/relationships"><Relationship Id="rId5" Type="http://schemas.openxmlformats.org/officeDocument/2006/relationships/styles" Target="styles.xml" /><Relationship Id="rId6" Type="http://schemas.openxmlformats.org/officeDocument/2006/relationships/settings" Target="settings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4" Type="http://schemas.openxmlformats.org/officeDocument/2006/relationships/footer" Target="footer4.xml" /><Relationship Id="rId9" Type="http://schemas.openxmlformats.org/officeDocument/2006/relationships/fontTable" Target="fontTable.xml" /><Relationship Id="rId1" Type="http://schemas.openxmlformats.org/officeDocument/2006/relationships/image" Target="media/image1.png" /><Relationship Id="rId2" Type="http://schemas.openxmlformats.org/officeDocument/2006/relationships/image" Target="media/image2.png" /><Relationship Id="rId3" Type="http://schemas.openxmlformats.org/officeDocument/2006/relationships/image" Target="media/image3.png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>
        </DisplayName>
        <AccountId xsi:nil="true">
        </AccountId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atsparumą/_layouts/15/DocIdRedir.aspx?ID=PVIS-975562914-123</Url>
      <Description>PVIS-975562914-123</Description>
    </_dlc_DocIdUrl>
    <Nuoseklūs xmlns="58896280-883f-49e1-8f2c-86b01e3ff616">
      <UserInfo>
        <DisplayName>
        </DisplayName>
        <AccountId xsi:nil="true">
        </AccountId>
        <AccountType/>
      </UserInfo>
    </Nuoseklūs>
    <_dlc_DocId xmlns="58896280-883f-49e1-8f2c-86b01e3ff616">PVIS-975562914-123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F38F43-D410-4E6E-86D4-8584CF51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7F257-F7A6-4146-BADA-D164F56FF2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94D8A-4D15-4850-B6CD-706AF246B525}">
  <ds:schemaRefs>
    <ds:schemaRef ds:uri="http://purl.org/dc/terms/"/>
    <ds:schemaRef ds:uri="http://purl.org/dc/elements/1.1/"/>
    <ds:schemaRef ds:uri="http://purl.org/dc/dcmitype/"/>
    <ds:schemaRef ds:uri="8147d243-9467-4836-9be4-2814a5a84ee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8768c37-b046-494f-a6ae-08965d25b61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450CC8E-AE5A-45F4-8C82-61542FC1E779}"/>
</file>

<file path=customXml/itemProps5.xml><?xml version="1.0" encoding="utf-8"?>
<ds:datastoreItem xmlns:ds="http://schemas.openxmlformats.org/officeDocument/2006/customXml" ds:itemID="{13D52023-B2A2-4699-A319-5DDB5B5947D9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104</TotalTime>
  <Pages>3</Pages>
  <Words>544</Words>
  <Characters>3458</Characters>
  <Application>Microsoft Office Word</Application>
  <DocSecurity>0</DocSecurity>
  <Lines>28</Lines>
  <Paragraphs>7</Paragraphs>
  <Company>AET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Aleksandr Olefir</cp:lastModifiedBy>
  <cp:lastPrinted>2014-01-20T06:48:00Z</cp:lastPrinted>
  <cp:revision>10</cp:revision>
  <dcterms:created xsi:type="dcterms:W3CDTF">2025-01-31T07:22:00Z</dcterms:created>
  <dcterms:modified xsi:type="dcterms:W3CDTF">2025-02-04T12:37:00Z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_DCDateCreated" pid="2">
    <vt:lpstr>1999-11-30T03:00:00Z</vt:lpstr>
  </property>
  <property fmtid="{D5CDD505-2E9C-101B-9397-08002B2CF9AE}" name="MSIP_Label_7058e6ed-1f62-4b3b-a413-1541f2aa482f_Enabled" pid="3">
    <vt:lpstr>true</vt:lpstr>
  </property>
  <property fmtid="{D5CDD505-2E9C-101B-9397-08002B2CF9AE}" name="MSIP_Label_7058e6ed-1f62-4b3b-a413-1541f2aa482f_SetDate" pid="4">
    <vt:lpstr>2023-10-24T07:17:20Z</vt:lpstr>
  </property>
  <property fmtid="{D5CDD505-2E9C-101B-9397-08002B2CF9AE}" name="MSIP_Label_7058e6ed-1f62-4b3b-a413-1541f2aa482f_Method" pid="5">
    <vt:lpstr>Privileged</vt:lpstr>
  </property>
  <property fmtid="{D5CDD505-2E9C-101B-9397-08002B2CF9AE}" name="MSIP_Label_7058e6ed-1f62-4b3b-a413-1541f2aa482f_Name" pid="6">
    <vt:lpwstr>VIEŠA</vt:lpwstr>
  </property>
  <property fmtid="{D5CDD505-2E9C-101B-9397-08002B2CF9AE}" name="MSIP_Label_7058e6ed-1f62-4b3b-a413-1541f2aa482f_SiteId" pid="7">
    <vt:lpstr>86bcf768-7bcf-4cd6-b041-b219988b7a9c</vt:lpstr>
  </property>
  <property fmtid="{D5CDD505-2E9C-101B-9397-08002B2CF9AE}" name="MSIP_Label_7058e6ed-1f62-4b3b-a413-1541f2aa482f_ActionId" pid="8">
    <vt:lpstr>2d44905c-ec0a-40dc-96b5-4ee23a5a8e0f</vt:lpstr>
  </property>
  <property fmtid="{D5CDD505-2E9C-101B-9397-08002B2CF9AE}" name="MSIP_Label_7058e6ed-1f62-4b3b-a413-1541f2aa482f_ContentBits" pid="9">
    <vt:lpstr>0</vt:lpstr>
  </property>
  <property fmtid="{D5CDD505-2E9C-101B-9397-08002B2CF9AE}" name="ContentTypeId" pid="10">
    <vt:lpstr>0x01010066872F3CC8F7D84995438B893169A0800200663E56B3B61A8E43B5EBCAF60F439B2A</vt:lpstr>
  </property>
  <property fmtid="{D5CDD505-2E9C-101B-9397-08002B2CF9AE}" name="MediaServiceImageTags" pid="11">
    <vt:lpstr/>
  </property>
  <property fmtid="{D5CDD505-2E9C-101B-9397-08002B2CF9AE}" name="_dlc_DocIdItemGuid" pid="12">
    <vt:lpstr>059f4fd8-c551-49df-9d3b-247e13eabff8</vt:lpstr>
  </property>
</Properties>
</file>